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3A7F" w14:textId="0330BA37" w:rsidR="006C20FA" w:rsidRDefault="00FF74A9" w:rsidP="006C20FA">
      <w:pPr>
        <w:pStyle w:val="BodyText"/>
        <w:spacing w:before="118"/>
        <w:ind w:right="467"/>
      </w:pPr>
      <w:r>
        <w:t>SPBA has</w:t>
      </w:r>
      <w:r w:rsidR="006C20FA">
        <w:rPr>
          <w:spacing w:val="-3"/>
        </w:rPr>
        <w:t xml:space="preserve"> </w:t>
      </w:r>
      <w:r w:rsidR="006C20FA">
        <w:t>select</w:t>
      </w:r>
      <w:r>
        <w:t>ed</w:t>
      </w:r>
      <w:r w:rsidR="006C20FA">
        <w:rPr>
          <w:spacing w:val="-5"/>
        </w:rPr>
        <w:t xml:space="preserve"> </w:t>
      </w:r>
      <w:r w:rsidR="006C20FA">
        <w:t>a</w:t>
      </w:r>
      <w:r w:rsidR="006C20FA">
        <w:rPr>
          <w:spacing w:val="-3"/>
        </w:rPr>
        <w:t xml:space="preserve"> </w:t>
      </w:r>
      <w:r>
        <w:t>Background Screening</w:t>
      </w:r>
      <w:r w:rsidR="00676182">
        <w:t xml:space="preserve"> partner</w:t>
      </w:r>
      <w:r w:rsidR="006C20FA">
        <w:rPr>
          <w:spacing w:val="-5"/>
        </w:rPr>
        <w:t xml:space="preserve"> </w:t>
      </w:r>
      <w:r w:rsidR="006C20FA">
        <w:t>that</w:t>
      </w:r>
      <w:r w:rsidR="006C20FA">
        <w:rPr>
          <w:spacing w:val="-2"/>
        </w:rPr>
        <w:t xml:space="preserve"> </w:t>
      </w:r>
      <w:r w:rsidR="006C20FA">
        <w:t>will</w:t>
      </w:r>
      <w:r w:rsidR="006C20FA">
        <w:rPr>
          <w:spacing w:val="-3"/>
        </w:rPr>
        <w:t xml:space="preserve"> </w:t>
      </w:r>
      <w:r w:rsidR="006C20FA">
        <w:t>run</w:t>
      </w:r>
      <w:r w:rsidR="006C20FA">
        <w:rPr>
          <w:spacing w:val="-3"/>
        </w:rPr>
        <w:t xml:space="preserve"> </w:t>
      </w:r>
      <w:r w:rsidR="00676182">
        <w:rPr>
          <w:spacing w:val="-3"/>
        </w:rPr>
        <w:t xml:space="preserve">criminal </w:t>
      </w:r>
      <w:r w:rsidR="006C20FA">
        <w:t>background</w:t>
      </w:r>
      <w:r w:rsidR="006C20FA">
        <w:rPr>
          <w:spacing w:val="-2"/>
        </w:rPr>
        <w:t xml:space="preserve"> </w:t>
      </w:r>
      <w:r w:rsidR="006C20FA">
        <w:t>checks and will assist in interpreting results and in compliance with state and federal laws.</w:t>
      </w:r>
    </w:p>
    <w:p w14:paraId="7DE3CCB6" w14:textId="1B6D87C1" w:rsidR="006C20FA" w:rsidRDefault="006C20FA" w:rsidP="006C20FA">
      <w:pPr>
        <w:pStyle w:val="BodyText"/>
        <w:spacing w:before="182"/>
        <w:ind w:right="467"/>
      </w:pPr>
      <w:r>
        <w:t xml:space="preserve">The </w:t>
      </w:r>
      <w:r w:rsidR="00217BF4">
        <w:t>Background Screening partner</w:t>
      </w:r>
      <w:r>
        <w:t xml:space="preserve"> </w:t>
      </w:r>
      <w:r w:rsidR="00676182">
        <w:t>will</w:t>
      </w:r>
      <w:r>
        <w:t xml:space="preserve">, </w:t>
      </w:r>
      <w:r w:rsidRPr="00676182">
        <w:t>at a minimum</w:t>
      </w:r>
      <w:r>
        <w:t xml:space="preserve">, </w:t>
      </w:r>
      <w:r w:rsidR="00197D53">
        <w:t xml:space="preserve">complete an </w:t>
      </w:r>
      <w:r>
        <w:t xml:space="preserve">Instant National Criminal Search to include the National Criminal Database indicators from all available state/national sources, and the National and or State Sex Offender Registry. </w:t>
      </w:r>
      <w:r w:rsidR="004068DD">
        <w:t xml:space="preserve">All indicator hits are adjudicated at the county </w:t>
      </w:r>
      <w:r w:rsidR="00217BF4">
        <w:t xml:space="preserve">or state level as required by law. </w:t>
      </w:r>
      <w:r>
        <w:t>In addition, the organization</w:t>
      </w:r>
      <w:r w:rsidR="00197D53">
        <w:t xml:space="preserve"> </w:t>
      </w:r>
      <w:r w:rsidR="00A8757D">
        <w:t xml:space="preserve">(SPBA) </w:t>
      </w:r>
      <w:r w:rsidR="00197D53">
        <w:t>may</w:t>
      </w:r>
      <w:r>
        <w:t xml:space="preserve"> choose </w:t>
      </w:r>
      <w:r w:rsidR="00A8757D">
        <w:t xml:space="preserve">additional services </w:t>
      </w:r>
      <w:r>
        <w:t xml:space="preserve">enhancements from the </w:t>
      </w:r>
      <w:r w:rsidR="004B696F">
        <w:t>vendor,</w:t>
      </w:r>
      <w:r>
        <w:t xml:space="preserve"> </w:t>
      </w:r>
      <w:r w:rsidR="00294E57">
        <w:t xml:space="preserve">such as </w:t>
      </w:r>
      <w:r>
        <w:t>an address</w:t>
      </w:r>
      <w:r>
        <w:rPr>
          <w:spacing w:val="-2"/>
        </w:rPr>
        <w:t xml:space="preserve"> </w:t>
      </w:r>
      <w:r>
        <w:t>trace to assess counties of residence to search or if available</w:t>
      </w:r>
      <w:r>
        <w:rPr>
          <w:spacing w:val="-4"/>
        </w:rPr>
        <w:t xml:space="preserve"> a</w:t>
      </w:r>
      <w:r>
        <w:t xml:space="preserve"> Statewide search, or any others at league discretion.</w:t>
      </w:r>
    </w:p>
    <w:p w14:paraId="406E0F70" w14:textId="26C2A8ED" w:rsidR="001A5A55" w:rsidRDefault="006C20FA" w:rsidP="000027E5">
      <w:pPr>
        <w:pStyle w:val="BodyText"/>
        <w:tabs>
          <w:tab w:val="left" w:pos="4664"/>
        </w:tabs>
        <w:spacing w:before="185"/>
        <w:ind w:right="467"/>
        <w:rPr>
          <w:i/>
        </w:rPr>
      </w:pPr>
      <w:r>
        <w:t xml:space="preserve">All </w:t>
      </w:r>
      <w:r w:rsidR="001118A7">
        <w:t xml:space="preserve">Coaching </w:t>
      </w:r>
      <w:r>
        <w:t>staff</w:t>
      </w:r>
      <w:r w:rsidR="00C2331D">
        <w:t>s</w:t>
      </w:r>
      <w:r>
        <w:t xml:space="preserve"> with access to youth, including </w:t>
      </w:r>
      <w:r w:rsidR="001118A7">
        <w:t xml:space="preserve">all </w:t>
      </w:r>
      <w:r w:rsidR="00C2331D">
        <w:t>(Recreational and Travel – SPBA and</w:t>
      </w:r>
      <w:r w:rsidR="00BF2F13">
        <w:t>/or</w:t>
      </w:r>
      <w:r w:rsidR="00C2331D">
        <w:t xml:space="preserve"> </w:t>
      </w:r>
      <w:r w:rsidR="00137E73">
        <w:t>partner</w:t>
      </w:r>
      <w:r w:rsidR="00C2331D">
        <w:t xml:space="preserve">) </w:t>
      </w:r>
      <w:r w:rsidR="00BF2F13">
        <w:t xml:space="preserve">volunteer or paid, </w:t>
      </w:r>
      <w:r w:rsidR="00581BAB">
        <w:t xml:space="preserve">managers, </w:t>
      </w:r>
      <w:r>
        <w:t xml:space="preserve">coaches, assistant coaches, </w:t>
      </w:r>
      <w:r w:rsidR="00F067AE">
        <w:t>and</w:t>
      </w:r>
      <w:r w:rsidR="00F067AE" w:rsidRPr="00F067AE">
        <w:t xml:space="preserve"> </w:t>
      </w:r>
      <w:r w:rsidR="00F067AE">
        <w:t xml:space="preserve">any parent who substitutes and is anticipated to be on the field for 1 game or more,  </w:t>
      </w:r>
      <w:r w:rsidR="00581BAB">
        <w:t>will</w:t>
      </w:r>
      <w:r>
        <w:t xml:space="preserve"> undergo a background check for acceptability prior to initial assignment of duties. Thereafter, a subsequent background check </w:t>
      </w:r>
      <w:r w:rsidR="00294E57">
        <w:t>will</w:t>
      </w:r>
      <w:r>
        <w:t xml:space="preserve"> be run every 2 years. </w:t>
      </w:r>
      <w:r>
        <w:rPr>
          <w:i/>
        </w:rPr>
        <w:t xml:space="preserve">Technology or product changes by vendors can and will affect this decision process to assess most effective searches </w:t>
      </w:r>
      <w:r w:rsidR="000027E5">
        <w:rPr>
          <w:i/>
        </w:rPr>
        <w:t xml:space="preserve"> and or process to uti</w:t>
      </w:r>
      <w:r w:rsidR="001A5A55">
        <w:rPr>
          <w:i/>
        </w:rPr>
        <w:t>lize.</w:t>
      </w:r>
    </w:p>
    <w:p w14:paraId="59531886" w14:textId="0E1E3EA4" w:rsidR="001A5A55" w:rsidRDefault="001A5A55" w:rsidP="001A5A55">
      <w:pPr>
        <w:pStyle w:val="BodyText"/>
        <w:spacing w:before="185"/>
        <w:ind w:right="467"/>
      </w:pPr>
      <w:r>
        <w:t xml:space="preserve">The Safety Officer along with direction from selected executive committee members </w:t>
      </w:r>
      <w:r w:rsidR="002A0EEC">
        <w:t>is</w:t>
      </w:r>
      <w:r>
        <w:t xml:space="preserve"> responsible for implementing, monitoring, taking corrective action, disqualifying un</w:t>
      </w:r>
      <w:r w:rsidR="00912C87">
        <w:t xml:space="preserve">qualified </w:t>
      </w:r>
      <w:r>
        <w:t>candidates,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</w:t>
      </w:r>
      <w:r w:rsidR="00985219">
        <w:t>he Background Screening partner</w:t>
      </w:r>
      <w:r>
        <w:rPr>
          <w:spacing w:val="-5"/>
        </w:rPr>
        <w:t xml:space="preserve"> </w:t>
      </w:r>
      <w:r>
        <w:t>vendor</w:t>
      </w:r>
      <w:r w:rsidR="00AC2031">
        <w:t xml:space="preserve">(s) </w:t>
      </w:r>
      <w:r>
        <w:t>on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criminal background check program. The Safety Officer </w:t>
      </w:r>
      <w:r w:rsidR="00912C87">
        <w:t xml:space="preserve">will </w:t>
      </w:r>
      <w:r>
        <w:t xml:space="preserve"> maintain confidentiality</w:t>
      </w:r>
      <w:r w:rsidR="00912C87">
        <w:t>.</w:t>
      </w:r>
      <w:r>
        <w:t xml:space="preserve"> The Safety Officer </w:t>
      </w:r>
      <w:r w:rsidR="00912C87">
        <w:t>will</w:t>
      </w:r>
      <w:r>
        <w:t xml:space="preserve"> work with </w:t>
      </w:r>
      <w:r w:rsidR="00912C87">
        <w:t>the se</w:t>
      </w:r>
      <w:r w:rsidR="00E559C8">
        <w:t xml:space="preserve">lected Background </w:t>
      </w:r>
      <w:r w:rsidR="00965B4E">
        <w:t>Screening</w:t>
      </w:r>
      <w:r w:rsidR="00E559C8">
        <w:t xml:space="preserve"> partner</w:t>
      </w:r>
      <w:r>
        <w:t xml:space="preserve"> for assistance in interpreting background check results; </w:t>
      </w:r>
      <w:r w:rsidR="00AC2031">
        <w:t xml:space="preserve">or qualified executive committee members, </w:t>
      </w:r>
      <w:r w:rsidR="0042420C">
        <w:t xml:space="preserve">and for </w:t>
      </w:r>
      <w:r>
        <w:t>sending adverse action notifications required by law; and</w:t>
      </w:r>
      <w:r w:rsidR="00CD50D6">
        <w:t xml:space="preserve"> by </w:t>
      </w:r>
      <w:r w:rsidR="00395D2A">
        <w:t>ensuring</w:t>
      </w:r>
      <w:r w:rsidR="00CD50D6">
        <w:t xml:space="preserve"> all compliance </w:t>
      </w:r>
      <w:r w:rsidR="00965B4E">
        <w:t xml:space="preserve">and notification </w:t>
      </w:r>
      <w:r w:rsidR="00CD50D6">
        <w:t>processes</w:t>
      </w:r>
      <w:r w:rsidR="000367C3">
        <w:t xml:space="preserve"> are met</w:t>
      </w:r>
      <w:r w:rsidR="00A85213">
        <w:t>.</w:t>
      </w:r>
    </w:p>
    <w:p w14:paraId="63E0A88A" w14:textId="77777777" w:rsidR="001A5A55" w:rsidRDefault="001A5A55" w:rsidP="001A5A55">
      <w:pPr>
        <w:pStyle w:val="BodyText"/>
        <w:spacing w:before="45"/>
      </w:pPr>
    </w:p>
    <w:p w14:paraId="71D491F2" w14:textId="791574B1" w:rsidR="00E559C8" w:rsidRDefault="00E559C8" w:rsidP="00E559C8">
      <w:pPr>
        <w:pStyle w:val="BodyText"/>
        <w:spacing w:before="233"/>
      </w:pPr>
      <w:r>
        <w:rPr>
          <w:b/>
        </w:rPr>
        <w:t>Disqualification</w:t>
      </w:r>
      <w:r>
        <w:rPr>
          <w:b/>
          <w:spacing w:val="-2"/>
        </w:rPr>
        <w:t xml:space="preserve"> </w:t>
      </w:r>
      <w:r>
        <w:rPr>
          <w:b/>
        </w:rPr>
        <w:t>Criteria:</w:t>
      </w:r>
      <w:r>
        <w:rPr>
          <w:b/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 w:rsidR="00AE5FE7">
        <w:t xml:space="preserve"> /volunteers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fairly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consistently, and</w:t>
      </w:r>
      <w:r w:rsidR="004A6F63">
        <w:t xml:space="preserve"> to remain</w:t>
      </w:r>
      <w:r>
        <w:t xml:space="preserve"> in full compliance with State and Federal law</w:t>
      </w:r>
      <w:r w:rsidR="004A6F63">
        <w:t>,</w:t>
      </w:r>
      <w:r w:rsidR="002949FA">
        <w:t xml:space="preserve"> </w:t>
      </w:r>
      <w:r w:rsidR="00BD0417">
        <w:rPr>
          <w:spacing w:val="-1"/>
        </w:rPr>
        <w:t xml:space="preserve">SPBA has secured </w:t>
      </w:r>
      <w:r w:rsidR="00F7214A">
        <w:rPr>
          <w:spacing w:val="-1"/>
        </w:rPr>
        <w:t>consultant recommendations as well as</w:t>
      </w:r>
      <w:r w:rsidR="00BD0417">
        <w:rPr>
          <w:spacing w:val="-1"/>
        </w:rPr>
        <w:t xml:space="preserve"> feedback from</w:t>
      </w:r>
      <w:r w:rsidR="00F7214A">
        <w:rPr>
          <w:spacing w:val="-1"/>
        </w:rPr>
        <w:t xml:space="preserve"> similarly situated organizations</w:t>
      </w:r>
      <w:r w:rsidR="00EC3177">
        <w:rPr>
          <w:spacing w:val="-1"/>
        </w:rPr>
        <w:t xml:space="preserve"> </w:t>
      </w:r>
      <w:r w:rsidR="00BD0417">
        <w:rPr>
          <w:spacing w:val="-1"/>
        </w:rPr>
        <w:t>to assist in the development of the</w:t>
      </w:r>
      <w:r w:rsidR="00AE5FE7">
        <w:rPr>
          <w:spacing w:val="-1"/>
        </w:rPr>
        <w:t xml:space="preserve"> </w:t>
      </w:r>
      <w:r w:rsidR="00DD7E72">
        <w:rPr>
          <w:spacing w:val="-1"/>
        </w:rPr>
        <w:t>non-compliant</w:t>
      </w:r>
      <w:r w:rsidR="002E65C3">
        <w:rPr>
          <w:spacing w:val="-1"/>
        </w:rPr>
        <w:t xml:space="preserve"> and or non-qualifying</w:t>
      </w:r>
      <w:r w:rsidR="00627606">
        <w:rPr>
          <w:spacing w:val="-1"/>
        </w:rPr>
        <w:t xml:space="preserve"> criteria</w:t>
      </w:r>
      <w:r w:rsidR="00EC3177">
        <w:rPr>
          <w:spacing w:val="-1"/>
        </w:rPr>
        <w:t xml:space="preserve"> that will be utilized for all staff and volunteers who are not permitted to serve</w:t>
      </w:r>
      <w:r w:rsidR="00DD7E72">
        <w:rPr>
          <w:spacing w:val="-1"/>
        </w:rPr>
        <w:t>.</w:t>
      </w:r>
      <w:r w:rsidR="002E65C3">
        <w:rPr>
          <w:spacing w:val="-1"/>
        </w:rPr>
        <w:t xml:space="preserve"> </w:t>
      </w:r>
      <w:proofErr w:type="gramStart"/>
      <w:r w:rsidR="00C26654">
        <w:rPr>
          <w:spacing w:val="-1"/>
        </w:rPr>
        <w:t>This criteria</w:t>
      </w:r>
      <w:proofErr w:type="gramEnd"/>
      <w:r w:rsidR="00C26654">
        <w:rPr>
          <w:spacing w:val="-1"/>
        </w:rPr>
        <w:t xml:space="preserve"> </w:t>
      </w:r>
      <w:r w:rsidR="009D7700">
        <w:rPr>
          <w:spacing w:val="-1"/>
        </w:rPr>
        <w:t>is</w:t>
      </w:r>
      <w:r w:rsidR="002E65C3">
        <w:rPr>
          <w:spacing w:val="-1"/>
        </w:rPr>
        <w:t xml:space="preserve"> consistently applied across the </w:t>
      </w:r>
      <w:r w:rsidR="004A6F63">
        <w:rPr>
          <w:spacing w:val="-1"/>
        </w:rPr>
        <w:t>organization.</w:t>
      </w:r>
    </w:p>
    <w:p w14:paraId="237B971A" w14:textId="169B088A" w:rsidR="006C20FA" w:rsidRDefault="005D08CB" w:rsidP="006C20FA">
      <w:pPr>
        <w:pStyle w:val="BodyText"/>
        <w:spacing w:before="183"/>
      </w:pPr>
      <w:r>
        <w:t xml:space="preserve">Our standard criteria </w:t>
      </w:r>
      <w:r w:rsidR="0004117D">
        <w:t>while</w:t>
      </w:r>
      <w:r>
        <w:t xml:space="preserve"> not published is available upon </w:t>
      </w:r>
      <w:r w:rsidR="004B696F">
        <w:t>request.</w:t>
      </w:r>
    </w:p>
    <w:sectPr w:rsidR="006C20FA" w:rsidSect="00B15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8BEC" w14:textId="77777777" w:rsidR="00DD0A9F" w:rsidRDefault="00DD0A9F" w:rsidP="004147A3">
      <w:pPr>
        <w:spacing w:after="0" w:line="240" w:lineRule="auto"/>
      </w:pPr>
      <w:r>
        <w:separator/>
      </w:r>
    </w:p>
  </w:endnote>
  <w:endnote w:type="continuationSeparator" w:id="0">
    <w:p w14:paraId="22CB949E" w14:textId="77777777" w:rsidR="00DD0A9F" w:rsidRDefault="00DD0A9F" w:rsidP="0041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1CF2" w14:textId="77777777" w:rsidR="000367C3" w:rsidRDefault="00036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EA15" w14:textId="7F1AE2D9" w:rsidR="004147A3" w:rsidRPr="00AB4CB8" w:rsidRDefault="00AB4CB8">
    <w:pPr>
      <w:pStyle w:val="Footer"/>
      <w:rPr>
        <w:sz w:val="18"/>
        <w:szCs w:val="18"/>
        <w:lang w:val="en-GB"/>
      </w:rPr>
    </w:pPr>
    <w:r>
      <w:rPr>
        <w:lang w:val="en-GB"/>
      </w:rPr>
      <w:tab/>
    </w:r>
    <w:r w:rsidRPr="00AB4CB8">
      <w:rPr>
        <w:sz w:val="18"/>
        <w:szCs w:val="18"/>
        <w:lang w:val="en-GB"/>
      </w:rPr>
      <w:t>REVISION July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DFFE" w14:textId="77777777" w:rsidR="000367C3" w:rsidRDefault="00036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1343" w14:textId="77777777" w:rsidR="00DD0A9F" w:rsidRDefault="00DD0A9F" w:rsidP="004147A3">
      <w:pPr>
        <w:spacing w:after="0" w:line="240" w:lineRule="auto"/>
      </w:pPr>
      <w:r>
        <w:separator/>
      </w:r>
    </w:p>
  </w:footnote>
  <w:footnote w:type="continuationSeparator" w:id="0">
    <w:p w14:paraId="6A04C308" w14:textId="77777777" w:rsidR="00DD0A9F" w:rsidRDefault="00DD0A9F" w:rsidP="0041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AFB7" w14:textId="77777777" w:rsidR="000367C3" w:rsidRDefault="00036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F0D3" w14:textId="5574A620" w:rsidR="004147A3" w:rsidRDefault="00AB4CB8">
    <w:pPr>
      <w:pStyle w:val="Header"/>
    </w:pPr>
    <w:r>
      <w:rPr>
        <w:noProof/>
      </w:rPr>
      <w:drawing>
        <wp:inline distT="0" distB="0" distL="0" distR="0" wp14:anchorId="24B4F7B9" wp14:editId="115ADFE4">
          <wp:extent cx="857250" cy="742950"/>
          <wp:effectExtent l="0" t="0" r="0" b="0"/>
          <wp:docPr id="9500496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7C3">
      <w:t xml:space="preserve">              </w:t>
    </w:r>
    <w:r w:rsidR="001A60E2">
      <w:tab/>
    </w:r>
    <w:r w:rsidR="001A60E2" w:rsidRPr="001A60E2">
      <w:rPr>
        <w:b/>
        <w:bCs/>
        <w:sz w:val="28"/>
        <w:szCs w:val="28"/>
      </w:rPr>
      <w:t>STAFF AND VOLUNTEER SCREENING PROCESS</w:t>
    </w:r>
  </w:p>
  <w:p w14:paraId="0BA715A1" w14:textId="77777777" w:rsidR="00AB4CB8" w:rsidRDefault="00AB4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C486" w14:textId="77777777" w:rsidR="000367C3" w:rsidRDefault="0003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C7B"/>
    <w:multiLevelType w:val="hybridMultilevel"/>
    <w:tmpl w:val="41A0E398"/>
    <w:lvl w:ilvl="0" w:tplc="0944D99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E0C"/>
    <w:multiLevelType w:val="hybridMultilevel"/>
    <w:tmpl w:val="C20A6F14"/>
    <w:lvl w:ilvl="0" w:tplc="B96E2B46">
      <w:start w:val="1"/>
      <w:numFmt w:val="decimal"/>
      <w:lvlText w:val="%1)"/>
      <w:lvlJc w:val="left"/>
      <w:pPr>
        <w:ind w:left="280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216704E">
      <w:numFmt w:val="bullet"/>
      <w:lvlText w:val=""/>
      <w:lvlJc w:val="left"/>
      <w:pPr>
        <w:ind w:left="4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0D2F880">
      <w:numFmt w:val="bullet"/>
      <w:lvlText w:val="•"/>
      <w:lvlJc w:val="left"/>
      <w:pPr>
        <w:ind w:left="1648" w:hanging="361"/>
      </w:pPr>
      <w:rPr>
        <w:rFonts w:hint="default"/>
        <w:lang w:val="en-US" w:eastAsia="en-US" w:bidi="ar-SA"/>
      </w:rPr>
    </w:lvl>
    <w:lvl w:ilvl="3" w:tplc="119E347C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4" w:tplc="F058DFDA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2920FB0E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6" w:tplc="D56ACED2">
      <w:numFmt w:val="bullet"/>
      <w:lvlText w:val="•"/>
      <w:lvlJc w:val="left"/>
      <w:pPr>
        <w:ind w:left="6404" w:hanging="361"/>
      </w:pPr>
      <w:rPr>
        <w:rFonts w:hint="default"/>
        <w:lang w:val="en-US" w:eastAsia="en-US" w:bidi="ar-SA"/>
      </w:rPr>
    </w:lvl>
    <w:lvl w:ilvl="7" w:tplc="D7881720">
      <w:numFmt w:val="bullet"/>
      <w:lvlText w:val="•"/>
      <w:lvlJc w:val="left"/>
      <w:pPr>
        <w:ind w:left="7593" w:hanging="361"/>
      </w:pPr>
      <w:rPr>
        <w:rFonts w:hint="default"/>
        <w:lang w:val="en-US" w:eastAsia="en-US" w:bidi="ar-SA"/>
      </w:rPr>
    </w:lvl>
    <w:lvl w:ilvl="8" w:tplc="A43E474E">
      <w:numFmt w:val="bullet"/>
      <w:lvlText w:val="•"/>
      <w:lvlJc w:val="left"/>
      <w:pPr>
        <w:ind w:left="878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FB03FE8"/>
    <w:multiLevelType w:val="hybridMultilevel"/>
    <w:tmpl w:val="AB486988"/>
    <w:lvl w:ilvl="0" w:tplc="03ECC536">
      <w:start w:val="1"/>
      <w:numFmt w:val="decimal"/>
      <w:lvlText w:val="%1)"/>
      <w:lvlJc w:val="left"/>
      <w:pPr>
        <w:ind w:left="100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A7E6096">
      <w:numFmt w:val="bullet"/>
      <w:lvlText w:val="•"/>
      <w:lvlJc w:val="left"/>
      <w:pPr>
        <w:ind w:left="2016" w:hanging="281"/>
      </w:pPr>
      <w:rPr>
        <w:rFonts w:hint="default"/>
        <w:lang w:val="en-US" w:eastAsia="en-US" w:bidi="ar-SA"/>
      </w:rPr>
    </w:lvl>
    <w:lvl w:ilvl="2" w:tplc="B37E7998">
      <w:numFmt w:val="bullet"/>
      <w:lvlText w:val="•"/>
      <w:lvlJc w:val="left"/>
      <w:pPr>
        <w:ind w:left="3032" w:hanging="281"/>
      </w:pPr>
      <w:rPr>
        <w:rFonts w:hint="default"/>
        <w:lang w:val="en-US" w:eastAsia="en-US" w:bidi="ar-SA"/>
      </w:rPr>
    </w:lvl>
    <w:lvl w:ilvl="3" w:tplc="262E0A76">
      <w:numFmt w:val="bullet"/>
      <w:lvlText w:val="•"/>
      <w:lvlJc w:val="left"/>
      <w:pPr>
        <w:ind w:left="4048" w:hanging="281"/>
      </w:pPr>
      <w:rPr>
        <w:rFonts w:hint="default"/>
        <w:lang w:val="en-US" w:eastAsia="en-US" w:bidi="ar-SA"/>
      </w:rPr>
    </w:lvl>
    <w:lvl w:ilvl="4" w:tplc="B3007770">
      <w:numFmt w:val="bullet"/>
      <w:lvlText w:val="•"/>
      <w:lvlJc w:val="left"/>
      <w:pPr>
        <w:ind w:left="5064" w:hanging="281"/>
      </w:pPr>
      <w:rPr>
        <w:rFonts w:hint="default"/>
        <w:lang w:val="en-US" w:eastAsia="en-US" w:bidi="ar-SA"/>
      </w:rPr>
    </w:lvl>
    <w:lvl w:ilvl="5" w:tplc="9710D762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59AA2CDC">
      <w:numFmt w:val="bullet"/>
      <w:lvlText w:val="•"/>
      <w:lvlJc w:val="left"/>
      <w:pPr>
        <w:ind w:left="7096" w:hanging="281"/>
      </w:pPr>
      <w:rPr>
        <w:rFonts w:hint="default"/>
        <w:lang w:val="en-US" w:eastAsia="en-US" w:bidi="ar-SA"/>
      </w:rPr>
    </w:lvl>
    <w:lvl w:ilvl="7" w:tplc="715C527E">
      <w:numFmt w:val="bullet"/>
      <w:lvlText w:val="•"/>
      <w:lvlJc w:val="left"/>
      <w:pPr>
        <w:ind w:left="8112" w:hanging="281"/>
      </w:pPr>
      <w:rPr>
        <w:rFonts w:hint="default"/>
        <w:lang w:val="en-US" w:eastAsia="en-US" w:bidi="ar-SA"/>
      </w:rPr>
    </w:lvl>
    <w:lvl w:ilvl="8" w:tplc="0FF451B2">
      <w:numFmt w:val="bullet"/>
      <w:lvlText w:val="•"/>
      <w:lvlJc w:val="left"/>
      <w:pPr>
        <w:ind w:left="9128" w:hanging="281"/>
      </w:pPr>
      <w:rPr>
        <w:rFonts w:hint="default"/>
        <w:lang w:val="en-US" w:eastAsia="en-US" w:bidi="ar-SA"/>
      </w:rPr>
    </w:lvl>
  </w:abstractNum>
  <w:num w:numId="1" w16cid:durableId="834031889">
    <w:abstractNumId w:val="2"/>
  </w:num>
  <w:num w:numId="2" w16cid:durableId="607389269">
    <w:abstractNumId w:val="1"/>
  </w:num>
  <w:num w:numId="3" w16cid:durableId="117834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A"/>
    <w:rsid w:val="000027E5"/>
    <w:rsid w:val="000367C3"/>
    <w:rsid w:val="0004117D"/>
    <w:rsid w:val="001118A7"/>
    <w:rsid w:val="00137E73"/>
    <w:rsid w:val="00181E3B"/>
    <w:rsid w:val="00182A98"/>
    <w:rsid w:val="00197D53"/>
    <w:rsid w:val="001A5A55"/>
    <w:rsid w:val="001A60E2"/>
    <w:rsid w:val="00217BF4"/>
    <w:rsid w:val="002949FA"/>
    <w:rsid w:val="00294E57"/>
    <w:rsid w:val="002A0EEC"/>
    <w:rsid w:val="002E65C3"/>
    <w:rsid w:val="00395D2A"/>
    <w:rsid w:val="004068DD"/>
    <w:rsid w:val="004147A3"/>
    <w:rsid w:val="0042420C"/>
    <w:rsid w:val="00432E8F"/>
    <w:rsid w:val="004A6F63"/>
    <w:rsid w:val="004B696F"/>
    <w:rsid w:val="00581BAB"/>
    <w:rsid w:val="005D08CB"/>
    <w:rsid w:val="005D7BEC"/>
    <w:rsid w:val="00627606"/>
    <w:rsid w:val="00676182"/>
    <w:rsid w:val="006B379B"/>
    <w:rsid w:val="006C20FA"/>
    <w:rsid w:val="006D63C3"/>
    <w:rsid w:val="006F12D9"/>
    <w:rsid w:val="007F1BE2"/>
    <w:rsid w:val="008C6C08"/>
    <w:rsid w:val="00912C87"/>
    <w:rsid w:val="00965827"/>
    <w:rsid w:val="00965B4E"/>
    <w:rsid w:val="00985219"/>
    <w:rsid w:val="009D7700"/>
    <w:rsid w:val="009E6DDD"/>
    <w:rsid w:val="00A85213"/>
    <w:rsid w:val="00A8757D"/>
    <w:rsid w:val="00AB4CB8"/>
    <w:rsid w:val="00AC2031"/>
    <w:rsid w:val="00AE5FE7"/>
    <w:rsid w:val="00B15E93"/>
    <w:rsid w:val="00BD0417"/>
    <w:rsid w:val="00BD046E"/>
    <w:rsid w:val="00BF2F13"/>
    <w:rsid w:val="00C2331D"/>
    <w:rsid w:val="00C26654"/>
    <w:rsid w:val="00CD50D6"/>
    <w:rsid w:val="00D52CAF"/>
    <w:rsid w:val="00DD0A9F"/>
    <w:rsid w:val="00DD7E72"/>
    <w:rsid w:val="00E559C8"/>
    <w:rsid w:val="00E87F9E"/>
    <w:rsid w:val="00EC3177"/>
    <w:rsid w:val="00F067AE"/>
    <w:rsid w:val="00F7214A"/>
    <w:rsid w:val="00F91300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73354"/>
  <w15:chartTrackingRefBased/>
  <w15:docId w15:val="{6C8CC9B4-ED13-443E-9CAB-0C71400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FA"/>
    <w:pPr>
      <w:widowControl w:val="0"/>
      <w:autoSpaceDE w:val="0"/>
      <w:autoSpaceDN w:val="0"/>
      <w:spacing w:after="120" w:line="36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C2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0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C20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20FA"/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7A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A3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Zimbardi</dc:creator>
  <cp:keywords/>
  <dc:description/>
  <cp:lastModifiedBy>Jim Zimbardi</cp:lastModifiedBy>
  <cp:revision>2</cp:revision>
  <dcterms:created xsi:type="dcterms:W3CDTF">2025-07-22T10:53:00Z</dcterms:created>
  <dcterms:modified xsi:type="dcterms:W3CDTF">2025-07-22T10:53:00Z</dcterms:modified>
</cp:coreProperties>
</file>